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Гражданское дело № 02-0002/1302/2024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УИД 86MS0013-01-2023-004465-56 </w:t>
      </w:r>
    </w:p>
    <w:p>
      <w:pPr>
        <w:spacing w:before="0" w:after="0" w:line="360" w:lineRule="auto"/>
        <w:jc w:val="center"/>
        <w:rPr>
          <w:sz w:val="26"/>
          <w:szCs w:val="26"/>
        </w:rPr>
      </w:pP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>РЕШЕНИЕ</w:t>
      </w: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22.01.2024 года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д.3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Шаповаленко В.С.,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ТСН "</w:t>
      </w:r>
      <w:r>
        <w:rPr>
          <w:rFonts w:ascii="Times New Roman" w:eastAsia="Times New Roman" w:hAnsi="Times New Roman" w:cs="Times New Roman"/>
          <w:sz w:val="26"/>
          <w:szCs w:val="26"/>
        </w:rPr>
        <w:t>Богдановское</w:t>
      </w:r>
      <w:r>
        <w:rPr>
          <w:rFonts w:ascii="Times New Roman" w:eastAsia="Times New Roman" w:hAnsi="Times New Roman" w:cs="Times New Roman"/>
          <w:sz w:val="26"/>
          <w:szCs w:val="26"/>
        </w:rPr>
        <w:t>" к Пяткову Дмитрию Геннадьевичу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пользование объектами инфраструктуры и имущества общего пользования, процентов за пользование чужими денежными средствами и судебных расходов,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194-198 Гражданского процессуального кодекса Российской Федерации,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6"/>
          <w:szCs w:val="26"/>
        </w:rPr>
        <w:t>ТСН "</w:t>
      </w:r>
      <w:r>
        <w:rPr>
          <w:rFonts w:ascii="Times New Roman" w:eastAsia="Times New Roman" w:hAnsi="Times New Roman" w:cs="Times New Roman"/>
          <w:sz w:val="26"/>
          <w:szCs w:val="26"/>
        </w:rPr>
        <w:t>Богдановское</w:t>
      </w:r>
      <w:r>
        <w:rPr>
          <w:rFonts w:ascii="Times New Roman" w:eastAsia="Times New Roman" w:hAnsi="Times New Roman" w:cs="Times New Roman"/>
          <w:sz w:val="26"/>
          <w:szCs w:val="26"/>
        </w:rPr>
        <w:t>" к Пяткову Дмитрию Геннадьевичу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пользование объектами инфраструктуры и имущества общего пользования, процентов за пользование чужими денежными средствами и судебных расходов,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 частично.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Пяткова Дмитрия Геннадьевича, </w:t>
      </w:r>
      <w:r>
        <w:rPr>
          <w:rStyle w:val="cat-ExternalSystemDefinedgrp-2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User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ТСН "</w:t>
      </w:r>
      <w:r>
        <w:rPr>
          <w:rFonts w:ascii="Times New Roman" w:eastAsia="Times New Roman" w:hAnsi="Times New Roman" w:cs="Times New Roman"/>
          <w:sz w:val="26"/>
          <w:szCs w:val="26"/>
        </w:rPr>
        <w:t>Богдановское</w:t>
      </w:r>
      <w:r>
        <w:rPr>
          <w:rFonts w:ascii="Times New Roman" w:eastAsia="Times New Roman" w:hAnsi="Times New Roman" w:cs="Times New Roman"/>
          <w:sz w:val="26"/>
          <w:szCs w:val="26"/>
        </w:rPr>
        <w:t>" задолженность по плате за пользование объектами инфраструктуры и другим имуществом общего пользования за период с 01.05.2019 г. по 31.12.2022 г. в размере 35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510 руб. 50 коп., проценты за период с 26.10.2019 г. по 20.04.2023 г. в размере 6 859 руб. 16 коп., расходы на оплату услуг представителя в размере 10 000 руб. 00 коп., почтовые расходы в сумме 103 руб. 00 коп., расходы по оплате государственной пошлины в размере 1 605 руб. 94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заявленных требований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в течение месяца со дня принятия решения суда в окончательной форме,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jc w:val="both"/>
        <w:rPr>
          <w:sz w:val="26"/>
          <w:szCs w:val="26"/>
        </w:rPr>
      </w:pPr>
    </w:p>
    <w:p>
      <w:pPr>
        <w:spacing w:before="0"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09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35a0e</w:t>
          </w: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098-c1e5-4870-bfcd-c62fbdee1dd0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3rplc-11">
    <w:name w:val="cat-ExternalSystemDefined grp-23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UserDefinedgrp-24rplc-13">
    <w:name w:val="cat-UserDefined grp-2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